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8738" w14:textId="7B8C53AA" w:rsidR="0014673A" w:rsidRDefault="00DE7F76" w:rsidP="00657B4B">
      <w:r>
        <w:rPr>
          <w:sz w:val="32"/>
        </w:rPr>
        <w:br/>
        <w:t>SEND register thresholds and ordinarily available support</w:t>
      </w:r>
      <w:r w:rsidR="005B35CE">
        <w:rPr>
          <w:sz w:val="32"/>
        </w:rPr>
        <w:t xml:space="preserve"> overview</w:t>
      </w:r>
      <w:r>
        <w:rPr>
          <w:sz w:val="32"/>
        </w:rPr>
        <w:br/>
        <w:t>October 2025</w:t>
      </w:r>
    </w:p>
    <w:p w14:paraId="3CB24EBA" w14:textId="4B1D4955" w:rsidR="0014673A" w:rsidRDefault="00DE7F76">
      <w:r>
        <w:t xml:space="preserve">Purpose: To set out when pupils are added to the SEND register at </w:t>
      </w:r>
      <w:r w:rsidR="00657B4B">
        <w:t>*</w:t>
      </w:r>
      <w:r>
        <w:t xml:space="preserve">, the reasons and evidence required, how Tier 1–3 support operates within our graduated response, and how </w:t>
      </w:r>
      <w:r w:rsidR="00657B4B">
        <w:t>*</w:t>
      </w:r>
      <w:r>
        <w:t>’s ‘Ordinarily Available’ (OA) framework informs day‑to‑day practice. This document complements our SEND policy and SEN Information Report.</w:t>
      </w:r>
    </w:p>
    <w:p w14:paraId="1F83182E" w14:textId="77777777" w:rsidR="0014673A" w:rsidRDefault="00DE7F76">
      <w:r>
        <w:rPr>
          <w:sz w:val="26"/>
        </w:rPr>
        <w:t>1. Statutory context and definitions</w:t>
      </w:r>
    </w:p>
    <w:p w14:paraId="034351B0" w14:textId="77777777" w:rsidR="0014673A" w:rsidRDefault="00DE7F76">
      <w:pPr>
        <w:pStyle w:val="ListBullet"/>
      </w:pPr>
      <w:r>
        <w:t>We follow the SEND Code of Practice (0–25) and the Children and Families Act 2014. ‘Special educational needs’ (SEN) refers to a learning difficulty or disability that calls for special educational provision that is additional to or different from that made generally for others of the same age.</w:t>
      </w:r>
    </w:p>
    <w:p w14:paraId="48A19086" w14:textId="77777777" w:rsidR="0014673A" w:rsidRDefault="00DE7F76">
      <w:pPr>
        <w:pStyle w:val="ListBullet"/>
      </w:pPr>
      <w:r>
        <w:t>Four broad areas of need (for identification and planning): Communication and Interaction; Cognition and Learning; Social, Emotional and Mental Health; Sensory and/or Physical.</w:t>
      </w:r>
    </w:p>
    <w:p w14:paraId="79323860" w14:textId="1CED05EC" w:rsidR="0014673A" w:rsidRDefault="00DE7F76">
      <w:pPr>
        <w:pStyle w:val="ListBullet"/>
      </w:pPr>
      <w:r>
        <w:t>Identification of SEN</w:t>
      </w:r>
      <w:r w:rsidR="002E6CA8">
        <w:t>D</w:t>
      </w:r>
      <w:r>
        <w:t xml:space="preserve"> does not rely on attainment or progress alone. We consider persistent difficulties despite high‑quality teaching, alongside assessment information and parent/pupil views.</w:t>
      </w:r>
    </w:p>
    <w:p w14:paraId="16A9A799" w14:textId="77777777" w:rsidR="0014673A" w:rsidRDefault="00DE7F76">
      <w:pPr>
        <w:pStyle w:val="ListBullet"/>
      </w:pPr>
      <w:r>
        <w:t>Many pupils have a disability under the Equality Act 2010; not all will have SEN. Where a pupil requires provision additional to or different from our ordinarily available offer, they are placed on SEN Support.</w:t>
      </w:r>
    </w:p>
    <w:p w14:paraId="058F61A4" w14:textId="504D6B7F" w:rsidR="0014673A" w:rsidRDefault="00DE7F76">
      <w:r>
        <w:rPr>
          <w:sz w:val="26"/>
        </w:rPr>
        <w:t>2.</w:t>
      </w:r>
      <w:r>
        <w:rPr>
          <w:sz w:val="26"/>
        </w:rPr>
        <w:t xml:space="preserve"> ‘Ordinarily Available’ (OA) framework – what it means for our classrooms</w:t>
      </w:r>
    </w:p>
    <w:p w14:paraId="68A187E0" w14:textId="77777777" w:rsidR="0014673A" w:rsidRDefault="00DE7F76">
      <w:r>
        <w:t>OA describes the inclusive teaching, culture and routines that every Essex school is expected to provide from its delegated funding. It includes universal quality‑first teaching, reasonable adjustments, and targeted short‑term interventions that can be offered without specialist services. We use the OA Inclusive Teaching Framework and the OA Targeted Support guidance to plan, deliver and review provision.</w:t>
      </w:r>
    </w:p>
    <w:p w14:paraId="17E6782A" w14:textId="01D9DC8E" w:rsidR="0014673A" w:rsidRDefault="00DE7F76">
      <w:pPr>
        <w:pStyle w:val="ListBullet"/>
      </w:pPr>
      <w:r>
        <w:t>Universal inclusive teaching (Tier 1) for all pupils</w:t>
      </w:r>
      <w:r w:rsidR="002E6CA8">
        <w:t>, general classroom provision such as</w:t>
      </w:r>
      <w:r>
        <w:t>: clear routines, scaffolding, visual support, chunked instructions, formative assessment, adaptations to task/pace/feedback, environmental adjustments, and use of assistive tools where appropriate.</w:t>
      </w:r>
    </w:p>
    <w:p w14:paraId="7F9CAA49" w14:textId="315F99C7" w:rsidR="0014673A" w:rsidRDefault="00DE7F76">
      <w:pPr>
        <w:pStyle w:val="ListBullet"/>
      </w:pPr>
      <w:r>
        <w:t xml:space="preserve">Targeted support for some pupils: time‑limited, evidence‑based small‑group or 1:1 interventions; additional overlearning; check‑ins; catch‑up </w:t>
      </w:r>
      <w:proofErr w:type="spellStart"/>
      <w:r>
        <w:t>programmes</w:t>
      </w:r>
      <w:proofErr w:type="spellEnd"/>
      <w:r>
        <w:t xml:space="preserve">; structured </w:t>
      </w:r>
      <w:r w:rsidR="002E6CA8">
        <w:t xml:space="preserve">short term </w:t>
      </w:r>
      <w:r>
        <w:t>pastoral support.</w:t>
      </w:r>
    </w:p>
    <w:p w14:paraId="383DBA37" w14:textId="7F20B65A" w:rsidR="0014673A" w:rsidRDefault="00DE7F76">
      <w:pPr>
        <w:pStyle w:val="ListBullet"/>
      </w:pPr>
      <w:proofErr w:type="spellStart"/>
      <w:r>
        <w:t>Personalisation</w:t>
      </w:r>
      <w:proofErr w:type="spellEnd"/>
      <w:r w:rsidR="002E6CA8">
        <w:t xml:space="preserve"> within tier 1</w:t>
      </w:r>
      <w:r>
        <w:t>: reasonable adjustments for disability; individual risk and access plans; graduated communication with families; pupil voice and co‑production.</w:t>
      </w:r>
    </w:p>
    <w:p w14:paraId="331DA806" w14:textId="77777777" w:rsidR="0014673A" w:rsidRDefault="00DE7F76">
      <w:r>
        <w:rPr>
          <w:sz w:val="26"/>
        </w:rPr>
        <w:t>3. Graduated response: Tier 1, Tier 2, Tier 3</w:t>
      </w:r>
    </w:p>
    <w:p w14:paraId="13C3B211" w14:textId="77777777" w:rsidR="0014673A" w:rsidRDefault="00DE7F76">
      <w:r>
        <w:t>We operate a three‑tier model aligned with the Assess–Plan–Do–Review (APDR) cycle. Movement between tiers is based on evidence of need, response to intervention, and professional judgment, with parent and pupil participation at each step.</w:t>
      </w:r>
    </w:p>
    <w:p w14:paraId="5592FF61" w14:textId="77777777" w:rsidR="0014673A" w:rsidRDefault="00DE7F76">
      <w:r>
        <w:rPr>
          <w:sz w:val="24"/>
        </w:rPr>
        <w:t>Tier 1 – Universal (Ordinarily Available) – not on the SEND register</w:t>
      </w:r>
    </w:p>
    <w:p w14:paraId="035C17D7" w14:textId="77777777" w:rsidR="0014673A" w:rsidRDefault="00DE7F76">
      <w:pPr>
        <w:pStyle w:val="ListBullet"/>
      </w:pPr>
      <w:r>
        <w:t>High‑quality, adaptive teaching in line with OA inclusive expectations.</w:t>
      </w:r>
    </w:p>
    <w:p w14:paraId="7F0B4049" w14:textId="77777777" w:rsidR="0014673A" w:rsidRDefault="00DE7F76">
      <w:pPr>
        <w:pStyle w:val="ListBullet"/>
      </w:pPr>
      <w:r>
        <w:t>Low‑stakes assessment to identify gaps; classroom adjustments and reasonable adjustments as needed.</w:t>
      </w:r>
    </w:p>
    <w:p w14:paraId="6DAE1EA9" w14:textId="77777777" w:rsidR="0014673A" w:rsidRDefault="00DE7F76">
      <w:pPr>
        <w:pStyle w:val="ListBullet"/>
      </w:pPr>
      <w:r>
        <w:t>Short, light‑touch supports which are part of everyday practice (e.g., visual timetables, task chunking, pre‑teaching vocabulary, flexible seating).</w:t>
      </w:r>
    </w:p>
    <w:p w14:paraId="4BDB3A32" w14:textId="77777777" w:rsidR="0014673A" w:rsidRDefault="00DE7F76">
      <w:pPr>
        <w:pStyle w:val="ListBullet"/>
      </w:pPr>
      <w:r>
        <w:t>Monitoring through class provision mapping and normal school data cycles.</w:t>
      </w:r>
    </w:p>
    <w:p w14:paraId="3454734C" w14:textId="77777777" w:rsidR="0014673A" w:rsidRDefault="00DE7F76">
      <w:r>
        <w:rPr>
          <w:sz w:val="24"/>
        </w:rPr>
        <w:lastRenderedPageBreak/>
        <w:t>Tier 2 – Targeted (some pupils) – may be on short‑term monitoring, not automatically on the SEND register</w:t>
      </w:r>
    </w:p>
    <w:p w14:paraId="26D7EA00" w14:textId="77777777" w:rsidR="0014673A" w:rsidRDefault="00DE7F76">
      <w:pPr>
        <w:pStyle w:val="ListBullet"/>
      </w:pPr>
      <w:r>
        <w:t>Time‑limited, evidence‑based interventions (typically 6–12 weeks) delivered in addition to universal teaching, with entry/exit criteria and baseline data.</w:t>
      </w:r>
    </w:p>
    <w:p w14:paraId="4438CF1A" w14:textId="77777777" w:rsidR="0014673A" w:rsidRDefault="00DE7F76">
      <w:pPr>
        <w:pStyle w:val="ListBullet"/>
      </w:pPr>
      <w:r>
        <w:t>Examples: phonics/reading fluency catch‑up, maths reasoning groups, social skills groups, speech sound/early language programmes under SaLT advice, precision teaching, mentoring/check‑in‑check‑out.</w:t>
      </w:r>
    </w:p>
    <w:p w14:paraId="526DEEC3" w14:textId="77777777" w:rsidR="0014673A" w:rsidRDefault="00DE7F76">
      <w:pPr>
        <w:pStyle w:val="ListBullet"/>
      </w:pPr>
      <w:r>
        <w:t>APDR recorded on a class/year provision map. Parents informed of concern and support. Pupil views captured.</w:t>
      </w:r>
    </w:p>
    <w:p w14:paraId="5E6D9245" w14:textId="77777777" w:rsidR="0014673A" w:rsidRDefault="00DE7F76">
      <w:pPr>
        <w:pStyle w:val="ListBullet"/>
      </w:pPr>
      <w:r>
        <w:t>If significant and persistent difficulties remain despite two monitored APDR cycles, we consider SEN Support (Tier 3).</w:t>
      </w:r>
    </w:p>
    <w:p w14:paraId="2C913C55" w14:textId="77777777" w:rsidR="0014673A" w:rsidRDefault="00DE7F76">
      <w:r>
        <w:rPr>
          <w:sz w:val="24"/>
        </w:rPr>
        <w:t>Tier 3 – SEN Support (individual pupils) – on the SEND register</w:t>
      </w:r>
    </w:p>
    <w:p w14:paraId="5AC4457F" w14:textId="77777777" w:rsidR="0014673A" w:rsidRDefault="00DE7F76">
      <w:pPr>
        <w:pStyle w:val="ListBullet"/>
      </w:pPr>
      <w:r>
        <w:t>Evidence indicates needs requiring provision ‘additional to or different from’ OA. Pupil is added to the SEND register under one or more broad areas of need.</w:t>
      </w:r>
    </w:p>
    <w:p w14:paraId="36AAF0F4" w14:textId="77777777" w:rsidR="0014673A" w:rsidRDefault="00DE7F76">
      <w:pPr>
        <w:pStyle w:val="ListBullet"/>
      </w:pPr>
      <w:r>
        <w:t>Individual Support Plan (or equivalent) with specific outcomes, provision, responsible adults, and review dates (at least termly).</w:t>
      </w:r>
    </w:p>
    <w:p w14:paraId="56EA95FC" w14:textId="77777777" w:rsidR="0014673A" w:rsidRDefault="00DE7F76">
      <w:pPr>
        <w:pStyle w:val="ListBullet"/>
      </w:pPr>
      <w:r>
        <w:t>Personalised adaptations and targeted interventions continue; external professionals may be consulted (e.g., EP, SaLT, OT) as appropriate.</w:t>
      </w:r>
    </w:p>
    <w:p w14:paraId="0088BA1F" w14:textId="77777777" w:rsidR="0014673A" w:rsidRDefault="00DE7F76">
      <w:pPr>
        <w:pStyle w:val="ListBullet"/>
      </w:pPr>
      <w:r>
        <w:t>Where progress remains limited despite sustained, high‑quality SEN Support and there is significant, complex and long‑term need, we consider an EHC needs assessment.</w:t>
      </w:r>
    </w:p>
    <w:p w14:paraId="1858D503" w14:textId="77777777" w:rsidR="0014673A" w:rsidRDefault="00DE7F76">
      <w:r>
        <w:rPr>
          <w:sz w:val="26"/>
        </w:rPr>
        <w:t>4. Thresholds: when a pupil goes onto the SEND register</w:t>
      </w:r>
    </w:p>
    <w:p w14:paraId="4CC3D2C3" w14:textId="77777777" w:rsidR="00396922" w:rsidRDefault="00DE7F76">
      <w:pPr>
        <w:pStyle w:val="ListNumber"/>
      </w:pPr>
      <w:r>
        <w:t>Persistent barriers to learning or participation remain despite Tier 1 OA adjustments</w:t>
      </w:r>
      <w:r w:rsidR="00396922">
        <w:t>.</w:t>
      </w:r>
    </w:p>
    <w:p w14:paraId="01317B7B" w14:textId="3B051357" w:rsidR="0014673A" w:rsidRDefault="00DE7F76">
      <w:pPr>
        <w:pStyle w:val="ListNumber"/>
      </w:pPr>
      <w:r>
        <w:t xml:space="preserve">Assessment shows </w:t>
      </w:r>
      <w:proofErr w:type="gramStart"/>
      <w:r>
        <w:t>needs</w:t>
      </w:r>
      <w:proofErr w:type="gramEnd"/>
      <w:r>
        <w:t xml:space="preserve"> that require provision additional to or different from OA (frequency, intensity or specialist nature) to secure progress and access the curriculum.</w:t>
      </w:r>
    </w:p>
    <w:p w14:paraId="625ADAA3" w14:textId="77777777" w:rsidR="0014673A" w:rsidRDefault="00DE7F76">
      <w:pPr>
        <w:pStyle w:val="ListNumber"/>
      </w:pPr>
      <w:r>
        <w:t>Pupil requires coordinated, individualised planning captured on an Individual Support Plan with termly reviews and measurable outcomes.</w:t>
      </w:r>
    </w:p>
    <w:p w14:paraId="52828335" w14:textId="77777777" w:rsidR="0014673A" w:rsidRDefault="00DE7F76">
      <w:pPr>
        <w:pStyle w:val="ListNumber"/>
      </w:pPr>
      <w:r>
        <w:t>The pupil’s profile aligns with one or more broad areas of need, and needs are likely to be longer‑term rather than short‑term catch‑up.</w:t>
      </w:r>
    </w:p>
    <w:p w14:paraId="73F069BC" w14:textId="77777777" w:rsidR="0014673A" w:rsidRDefault="00DE7F76">
      <w:pPr>
        <w:pStyle w:val="ListNumber"/>
      </w:pPr>
      <w:r>
        <w:t>Parents/carers are informed and their views and the pupil’s views are recorded as part of co‑production.</w:t>
      </w:r>
    </w:p>
    <w:p w14:paraId="4B498020" w14:textId="77777777" w:rsidR="0014673A" w:rsidRDefault="00DE7F76">
      <w:r>
        <w:rPr>
          <w:sz w:val="26"/>
        </w:rPr>
        <w:t>5. Reasons for inclusion on the SEND register (examples within each broad area)</w:t>
      </w:r>
    </w:p>
    <w:p w14:paraId="5DC527EF" w14:textId="44E88EC8" w:rsidR="0014673A" w:rsidRDefault="00DE7F76">
      <w:pPr>
        <w:pStyle w:val="ListBullet"/>
      </w:pPr>
      <w:r>
        <w:t xml:space="preserve">Communication and Interaction: persistent receptive/expressive language difficulties impacting access; social communication differences; significant speech sound </w:t>
      </w:r>
      <w:r w:rsidR="00396922">
        <w:t>difficulties</w:t>
      </w:r>
      <w:r>
        <w:t xml:space="preserve">; needs requiring sustained adaptations beyond OA and </w:t>
      </w:r>
      <w:proofErr w:type="gramStart"/>
      <w:r w:rsidR="00396922">
        <w:t>short term</w:t>
      </w:r>
      <w:proofErr w:type="gramEnd"/>
      <w:r w:rsidR="00396922">
        <w:t xml:space="preserve"> </w:t>
      </w:r>
      <w:r>
        <w:t xml:space="preserve">targeted </w:t>
      </w:r>
      <w:r w:rsidR="00396922">
        <w:t>programs</w:t>
      </w:r>
      <w:r>
        <w:t>.</w:t>
      </w:r>
    </w:p>
    <w:p w14:paraId="6F99F3A2" w14:textId="74CF12AB" w:rsidR="0014673A" w:rsidRDefault="00DE7F76">
      <w:pPr>
        <w:pStyle w:val="ListBullet"/>
      </w:pPr>
      <w:r>
        <w:t>Cognition and Learning: marked and persistent difficulties in literacy/numeracy or across the curriculum; low standardised scores and/or attainment; working memory/processing d</w:t>
      </w:r>
      <w:r w:rsidR="00396922">
        <w:t xml:space="preserve">ifficulties </w:t>
      </w:r>
      <w:r>
        <w:t>requiring bespoke scaffolds beyond OA; specific learning difficulties requiring structured, long‑term interventions.</w:t>
      </w:r>
    </w:p>
    <w:p w14:paraId="002478B4" w14:textId="1546DF4D" w:rsidR="0014673A" w:rsidRDefault="00DE7F76">
      <w:pPr>
        <w:pStyle w:val="ListBullet"/>
      </w:pPr>
      <w:r>
        <w:t xml:space="preserve">Social, Emotional and Mental Health: significant, sustained difficulties with regulation, anxiety, or </w:t>
      </w:r>
      <w:proofErr w:type="spellStart"/>
      <w:r>
        <w:t>behaviour</w:t>
      </w:r>
      <w:r w:rsidR="00396922">
        <w:t>s</w:t>
      </w:r>
      <w:proofErr w:type="spellEnd"/>
      <w:r>
        <w:t xml:space="preserve"> impacting learning/participation, requiring an individual plan</w:t>
      </w:r>
      <w:r w:rsidR="00396922">
        <w:t xml:space="preserve"> </w:t>
      </w:r>
      <w:r>
        <w:t>and coordinated support beyond OA (alongside graduated pastoral approaches).</w:t>
      </w:r>
    </w:p>
    <w:p w14:paraId="123745C5" w14:textId="77777777" w:rsidR="0014673A" w:rsidRDefault="00DE7F76">
      <w:pPr>
        <w:pStyle w:val="ListBullet"/>
      </w:pPr>
      <w:r>
        <w:t>Sensory and/or Physical: sensory processing differences or physical/medical needs requiring individual access arrangements, equipment or therapy‑related provision beyond OA.</w:t>
      </w:r>
    </w:p>
    <w:p w14:paraId="771F4C78" w14:textId="77777777" w:rsidR="00396922" w:rsidRDefault="00396922" w:rsidP="00396922">
      <w:pPr>
        <w:pStyle w:val="ListBullet"/>
        <w:numPr>
          <w:ilvl w:val="0"/>
          <w:numId w:val="0"/>
        </w:numPr>
        <w:ind w:left="360" w:hanging="360"/>
      </w:pPr>
    </w:p>
    <w:p w14:paraId="630A398D" w14:textId="77777777" w:rsidR="00396922" w:rsidRDefault="00396922" w:rsidP="00396922">
      <w:pPr>
        <w:pStyle w:val="ListBullet"/>
        <w:numPr>
          <w:ilvl w:val="0"/>
          <w:numId w:val="0"/>
        </w:numPr>
        <w:ind w:left="360" w:hanging="360"/>
      </w:pPr>
    </w:p>
    <w:p w14:paraId="6D7C48C4" w14:textId="77777777" w:rsidR="0014673A" w:rsidRDefault="00DE7F76">
      <w:r>
        <w:rPr>
          <w:sz w:val="26"/>
        </w:rPr>
        <w:lastRenderedPageBreak/>
        <w:t>6. Procedures: adding, reviewing and exiting the register</w:t>
      </w:r>
    </w:p>
    <w:p w14:paraId="54008A3C" w14:textId="5AAB35CF" w:rsidR="0014673A" w:rsidRDefault="00DE7F76">
      <w:pPr>
        <w:pStyle w:val="ListBullet"/>
      </w:pPr>
      <w:r>
        <w:t>Decision to add a pupil to the register is made by the SENCO</w:t>
      </w:r>
      <w:r w:rsidR="00396922">
        <w:t xml:space="preserve"> and school leaders</w:t>
      </w:r>
      <w:r>
        <w:t xml:space="preserve"> in consultation</w:t>
      </w:r>
      <w:r w:rsidR="00396922">
        <w:t xml:space="preserve"> with </w:t>
      </w:r>
      <w:r>
        <w:t>class teacher, parents/carers and, where appropriate, the pupil, using the thresholds above.</w:t>
      </w:r>
    </w:p>
    <w:p w14:paraId="33C3F597" w14:textId="64C77EB8" w:rsidR="0014673A" w:rsidRDefault="00DE7F76">
      <w:pPr>
        <w:pStyle w:val="ListBullet"/>
      </w:pPr>
      <w:r>
        <w:t>Each pupil on SEN Support has an Individual Support Plan</w:t>
      </w:r>
      <w:r w:rsidR="00396922">
        <w:t xml:space="preserve"> (one plan)</w:t>
      </w:r>
      <w:r>
        <w:t xml:space="preserve"> reviewed at least termly through APDR. Outcomes and provision are updated; impact is evaluated with data.</w:t>
      </w:r>
    </w:p>
    <w:p w14:paraId="7FB17ADE" w14:textId="77777777" w:rsidR="0014673A" w:rsidRDefault="00DE7F76">
      <w:pPr>
        <w:pStyle w:val="ListBullet"/>
      </w:pPr>
      <w:r>
        <w:t>Where needs are met and sustained without provision beyond OA, the pupil may exit the register following a successful review cycle, with continued monitoring at Tier 1.</w:t>
      </w:r>
    </w:p>
    <w:p w14:paraId="56C38EC2" w14:textId="77777777" w:rsidR="0014673A" w:rsidRDefault="00DE7F76">
      <w:pPr>
        <w:pStyle w:val="ListBullet"/>
      </w:pPr>
      <w:r>
        <w:t>If needs escalate and remain significant and long‑term, we may request an EHC needs assessment in partnership with parents and external professionals.</w:t>
      </w:r>
    </w:p>
    <w:p w14:paraId="274888E9" w14:textId="77777777" w:rsidR="0014673A" w:rsidRDefault="00DE7F76">
      <w:r>
        <w:rPr>
          <w:sz w:val="26"/>
        </w:rPr>
        <w:t>7. Roles and responsibilities</w:t>
      </w:r>
    </w:p>
    <w:p w14:paraId="24B923B8" w14:textId="70009832" w:rsidR="0014673A" w:rsidRDefault="00DE7F76">
      <w:pPr>
        <w:pStyle w:val="ListBullet"/>
      </w:pPr>
      <w:r>
        <w:t>Class teacher: responsible for adaptive teaching and day‑to‑day provision for all pupils, including those on the SEND register.</w:t>
      </w:r>
      <w:r w:rsidR="00396922">
        <w:t xml:space="preserve"> For any learning concerns, please contact the class teacher in the first instance. </w:t>
      </w:r>
    </w:p>
    <w:p w14:paraId="6D9C11D9" w14:textId="77777777" w:rsidR="0014673A" w:rsidRDefault="00DE7F76">
      <w:pPr>
        <w:pStyle w:val="ListBullet"/>
      </w:pPr>
      <w:r>
        <w:t>SENCO: oversees graduated response, register decisions, provision mapping, staff development, liaison with external services, and statutory processes.</w:t>
      </w:r>
    </w:p>
    <w:p w14:paraId="1765A107" w14:textId="77777777" w:rsidR="0014673A" w:rsidRDefault="00DE7F76">
      <w:pPr>
        <w:pStyle w:val="ListBullet"/>
      </w:pPr>
      <w:r>
        <w:t>Parents/carers and pupils: partners in co‑production, planning and review.</w:t>
      </w:r>
    </w:p>
    <w:p w14:paraId="30DF524D" w14:textId="77777777" w:rsidR="0014673A" w:rsidRDefault="00DE7F76">
      <w:pPr>
        <w:pStyle w:val="ListBullet"/>
      </w:pPr>
      <w:r>
        <w:t>Senior leaders and governors: monitor strategic impact, resource allocation and compliance.</w:t>
      </w:r>
    </w:p>
    <w:p w14:paraId="026515C4" w14:textId="77777777" w:rsidR="0014673A" w:rsidRDefault="00DE7F76">
      <w:r>
        <w:rPr>
          <w:sz w:val="26"/>
        </w:rPr>
        <w:t>8. Linked documents</w:t>
      </w:r>
    </w:p>
    <w:p w14:paraId="7B009FBF" w14:textId="77777777" w:rsidR="0014673A" w:rsidRDefault="00DE7F76">
      <w:pPr>
        <w:pStyle w:val="ListBullet"/>
      </w:pPr>
      <w:r>
        <w:t>SEND Policy; SEN Information Report; Accessibility Plan; Safeguarding Policy; Behaviour and Relationships Policy; Equality Duty; Medical Needs Policy; Essex OA Inclusive Teaching Framework; OA Targeted Support guidance.</w:t>
      </w:r>
    </w:p>
    <w:p w14:paraId="61FD4E49" w14:textId="77777777" w:rsidR="0014673A" w:rsidRDefault="00DE7F76">
      <w:r>
        <w:rPr>
          <w:sz w:val="26"/>
        </w:rPr>
        <w:t>9. Glossary</w:t>
      </w:r>
    </w:p>
    <w:p w14:paraId="4DB126A7" w14:textId="77777777" w:rsidR="0014673A" w:rsidRDefault="00DE7F76">
      <w:pPr>
        <w:pStyle w:val="ListBullet"/>
      </w:pPr>
      <w:r>
        <w:t>APDR: Assess–Plan–Do–Review cycle.</w:t>
      </w:r>
    </w:p>
    <w:p w14:paraId="2024B03C" w14:textId="77777777" w:rsidR="0014673A" w:rsidRDefault="00DE7F76">
      <w:pPr>
        <w:pStyle w:val="ListBullet"/>
      </w:pPr>
      <w:r>
        <w:t>OA: Ordinarily Available provision (Essex).</w:t>
      </w:r>
    </w:p>
    <w:p w14:paraId="3A899FED" w14:textId="77777777" w:rsidR="0014673A" w:rsidRDefault="00DE7F76">
      <w:pPr>
        <w:pStyle w:val="ListBullet"/>
      </w:pPr>
      <w:r>
        <w:t>QFT: Quality‑First (inclusive) Teaching.</w:t>
      </w:r>
    </w:p>
    <w:p w14:paraId="4CC90E6E" w14:textId="77777777" w:rsidR="0014673A" w:rsidRDefault="00DE7F76">
      <w:pPr>
        <w:pStyle w:val="ListBullet"/>
      </w:pPr>
      <w:r>
        <w:t>ISP: Individual Support Plan.</w:t>
      </w:r>
    </w:p>
    <w:p w14:paraId="583B68CD" w14:textId="77777777" w:rsidR="0014673A" w:rsidRDefault="00DE7F76">
      <w:pPr>
        <w:pStyle w:val="ListBullet"/>
      </w:pPr>
      <w:r>
        <w:t>EHC needs assessment/EHCP: Education, Health and Care needs assessment/plan.</w:t>
      </w:r>
    </w:p>
    <w:p w14:paraId="7A306E50" w14:textId="77777777" w:rsidR="0014673A" w:rsidRDefault="00DE7F76">
      <w:r>
        <w:rPr>
          <w:sz w:val="26"/>
        </w:rPr>
        <w:t>10. References</w:t>
      </w:r>
    </w:p>
    <w:p w14:paraId="2F04FE35" w14:textId="77777777" w:rsidR="0014673A" w:rsidRDefault="00DE7F76">
      <w:pPr>
        <w:pStyle w:val="ListBullet"/>
      </w:pPr>
      <w:r>
        <w:t>SEND Code of Practice: 0–25 (updated 12 Sept 2024), Department for Education/Department of Health and Social Care.</w:t>
      </w:r>
    </w:p>
    <w:p w14:paraId="6D98F691" w14:textId="77777777" w:rsidR="0014673A" w:rsidRDefault="00DE7F76">
      <w:pPr>
        <w:pStyle w:val="ListBullet"/>
      </w:pPr>
      <w:r>
        <w:t>Essex ‘Ordinarily Available – Inclusive Teaching Framework’ (2024).</w:t>
      </w:r>
    </w:p>
    <w:p w14:paraId="2038052D" w14:textId="77777777" w:rsidR="0014673A" w:rsidRDefault="00DE7F76">
      <w:pPr>
        <w:pStyle w:val="ListBullet"/>
      </w:pPr>
      <w:r>
        <w:t>Essex ‘Ordinarily Available – Targeted Support: Some Pupils’ (2023).</w:t>
      </w:r>
    </w:p>
    <w:p w14:paraId="36C6694A" w14:textId="61DBAE33" w:rsidR="0014673A" w:rsidRDefault="0014673A" w:rsidP="00396922">
      <w:pPr>
        <w:pStyle w:val="ListBullet"/>
        <w:numPr>
          <w:ilvl w:val="0"/>
          <w:numId w:val="0"/>
        </w:numPr>
        <w:ind w:left="360"/>
      </w:pPr>
    </w:p>
    <w:sectPr w:rsidR="0014673A" w:rsidSect="002E6C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6DBC68A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23A2818"/>
    <w:lvl w:ilvl="0">
      <w:start w:val="1"/>
      <w:numFmt w:val="bullet"/>
      <w:pStyle w:val="ListBullet"/>
      <w:lvlText w:val=""/>
      <w:lvlJc w:val="left"/>
      <w:pPr>
        <w:tabs>
          <w:tab w:val="num" w:pos="360"/>
        </w:tabs>
        <w:ind w:left="360" w:hanging="360"/>
      </w:pPr>
      <w:rPr>
        <w:rFonts w:ascii="Symbol" w:hAnsi="Symbol" w:hint="default"/>
      </w:rPr>
    </w:lvl>
  </w:abstractNum>
  <w:num w:numId="1" w16cid:durableId="1177229531">
    <w:abstractNumId w:val="8"/>
  </w:num>
  <w:num w:numId="2" w16cid:durableId="1014724713">
    <w:abstractNumId w:val="6"/>
  </w:num>
  <w:num w:numId="3" w16cid:durableId="359671262">
    <w:abstractNumId w:val="5"/>
  </w:num>
  <w:num w:numId="4" w16cid:durableId="1419984969">
    <w:abstractNumId w:val="4"/>
  </w:num>
  <w:num w:numId="5" w16cid:durableId="1551921954">
    <w:abstractNumId w:val="7"/>
  </w:num>
  <w:num w:numId="6" w16cid:durableId="680008901">
    <w:abstractNumId w:val="3"/>
  </w:num>
  <w:num w:numId="7" w16cid:durableId="269775747">
    <w:abstractNumId w:val="2"/>
  </w:num>
  <w:num w:numId="8" w16cid:durableId="317417498">
    <w:abstractNumId w:val="1"/>
  </w:num>
  <w:num w:numId="9" w16cid:durableId="741803774">
    <w:abstractNumId w:val="0"/>
  </w:num>
  <w:num w:numId="10" w16cid:durableId="196261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673A"/>
    <w:rsid w:val="0015074B"/>
    <w:rsid w:val="0029639D"/>
    <w:rsid w:val="002E6CA8"/>
    <w:rsid w:val="00326F90"/>
    <w:rsid w:val="00396922"/>
    <w:rsid w:val="00405AD6"/>
    <w:rsid w:val="005B35CE"/>
    <w:rsid w:val="00657B4B"/>
    <w:rsid w:val="00794A47"/>
    <w:rsid w:val="00AA1D8D"/>
    <w:rsid w:val="00B47730"/>
    <w:rsid w:val="00CB0664"/>
    <w:rsid w:val="00DE7F7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17DD99"/>
  <w14:defaultImageDpi w14:val="300"/>
  <w15:docId w15:val="{974C4DB0-ECB4-4D8A-808F-4744554B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7277</Characters>
  <Application>Microsoft Office Word</Application>
  <DocSecurity>0</DocSecurity>
  <Lines>110</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Lynn How</cp:lastModifiedBy>
  <cp:revision>2</cp:revision>
  <dcterms:created xsi:type="dcterms:W3CDTF">2025-11-19T18:22:00Z</dcterms:created>
  <dcterms:modified xsi:type="dcterms:W3CDTF">2025-11-19T18:22:00Z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41a1fa4d-dd27-4218-9355-8170ec0cc2a5</vt:lpwstr>
  </property>
</Properties>
</file>